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98BA" w14:textId="77777777" w:rsidR="005608CE" w:rsidRDefault="005608CE" w:rsidP="00B436AB">
      <w:pPr>
        <w:shd w:val="clear" w:color="auto" w:fill="FFFFFF"/>
        <w:spacing w:after="0"/>
        <w:ind w:left="450" w:right="450"/>
        <w:jc w:val="center"/>
        <w:rPr>
          <w:rFonts w:cs="Times New Roman"/>
          <w:b/>
          <w:bCs/>
          <w:color w:val="000000"/>
          <w:sz w:val="28"/>
          <w:szCs w:val="28"/>
        </w:rPr>
      </w:pPr>
      <w:r w:rsidRPr="005608CE">
        <w:rPr>
          <w:rFonts w:cs="Times New Roman"/>
          <w:b/>
          <w:bCs/>
          <w:color w:val="000000"/>
          <w:sz w:val="28"/>
          <w:szCs w:val="28"/>
        </w:rPr>
        <w:t>Обґрунтування</w:t>
      </w:r>
      <w:r w:rsidR="007D00C0" w:rsidRPr="005608CE">
        <w:rPr>
          <w:rFonts w:cs="Times New Roman"/>
          <w:b/>
          <w:bCs/>
          <w:color w:val="000000"/>
          <w:sz w:val="28"/>
          <w:szCs w:val="28"/>
        </w:rPr>
        <w:t xml:space="preserve"> </w:t>
      </w:r>
    </w:p>
    <w:p w14:paraId="0EA751FC" w14:textId="638BA108" w:rsidR="00B436AB" w:rsidRPr="005608CE" w:rsidRDefault="007D00C0" w:rsidP="00B436AB">
      <w:pPr>
        <w:shd w:val="clear" w:color="auto" w:fill="FFFFFF"/>
        <w:spacing w:after="0"/>
        <w:ind w:left="450" w:right="450"/>
        <w:jc w:val="center"/>
        <w:rPr>
          <w:rFonts w:eastAsiaTheme="minorHAnsi" w:cs="Times New Roman"/>
          <w:b/>
          <w:bCs/>
          <w:color w:val="000000" w:themeColor="text1"/>
          <w:sz w:val="28"/>
          <w:szCs w:val="28"/>
          <w:lang w:eastAsia="en-US"/>
        </w:rPr>
      </w:pPr>
      <w:r w:rsidRPr="005608CE">
        <w:rPr>
          <w:rFonts w:cs="Times New Roman"/>
          <w:b/>
          <w:bCs/>
          <w:color w:val="000000"/>
          <w:sz w:val="28"/>
          <w:szCs w:val="28"/>
        </w:rPr>
        <w:t xml:space="preserve">технічних та якісних характеристик предмета закупівлі, </w:t>
      </w:r>
      <w:r w:rsidR="00200299" w:rsidRPr="005608CE">
        <w:rPr>
          <w:rFonts w:cs="Times New Roman"/>
          <w:b/>
          <w:bCs/>
          <w:color w:val="000000"/>
          <w:sz w:val="28"/>
          <w:szCs w:val="28"/>
        </w:rPr>
        <w:t xml:space="preserve">його </w:t>
      </w:r>
      <w:r w:rsidRPr="005608CE">
        <w:rPr>
          <w:rFonts w:cs="Times New Roman"/>
          <w:b/>
          <w:bCs/>
          <w:color w:val="000000"/>
          <w:sz w:val="28"/>
          <w:szCs w:val="28"/>
        </w:rPr>
        <w:t xml:space="preserve">очікуваної вартості </w:t>
      </w:r>
      <w:r w:rsidR="00200299" w:rsidRPr="005608CE">
        <w:rPr>
          <w:rFonts w:cs="Times New Roman"/>
          <w:b/>
          <w:bCs/>
          <w:color w:val="000000"/>
          <w:sz w:val="28"/>
          <w:szCs w:val="28"/>
        </w:rPr>
        <w:t xml:space="preserve">та/або розміру бюджетного призначення </w:t>
      </w:r>
    </w:p>
    <w:p w14:paraId="189F1CF8" w14:textId="77777777" w:rsidR="007D00C0" w:rsidRPr="00B436AB" w:rsidRDefault="007D00C0" w:rsidP="00B436AB">
      <w:pPr>
        <w:shd w:val="clear" w:color="auto" w:fill="FFFFFF"/>
        <w:spacing w:after="0"/>
        <w:ind w:left="450" w:right="450"/>
        <w:jc w:val="center"/>
        <w:rPr>
          <w:rFonts w:cs="Times New Roman"/>
          <w:color w:val="000000"/>
          <w:sz w:val="28"/>
          <w:szCs w:val="28"/>
        </w:rPr>
      </w:pPr>
    </w:p>
    <w:p w14:paraId="4BB4E83C" w14:textId="4400E107"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b/>
          <w:bCs/>
          <w:color w:val="000000"/>
          <w:sz w:val="24"/>
          <w:szCs w:val="24"/>
        </w:rPr>
      </w:pPr>
      <w:bookmarkStart w:id="0" w:name="_heading=h.17dp8vu" w:colFirst="0" w:colLast="0"/>
      <w:bookmarkEnd w:id="0"/>
      <w:r w:rsidRPr="00AD4AE1">
        <w:rPr>
          <w:rFonts w:eastAsia="Times New Roman" w:cs="Times New Roman"/>
          <w:b/>
          <w:bCs/>
          <w:color w:val="000000"/>
          <w:sz w:val="24"/>
          <w:szCs w:val="24"/>
        </w:rPr>
        <w:t>1.</w:t>
      </w:r>
      <w:r w:rsidR="00B436AB" w:rsidRPr="00AD4AE1">
        <w:rPr>
          <w:rFonts w:eastAsia="Times New Roman" w:cs="Times New Roman"/>
          <w:b/>
          <w:bCs/>
          <w:color w:val="000000"/>
          <w:sz w:val="24"/>
          <w:szCs w:val="24"/>
        </w:rPr>
        <w:t xml:space="preserve"> </w:t>
      </w:r>
      <w:r w:rsidRPr="00AD4AE1">
        <w:rPr>
          <w:rFonts w:eastAsia="Times New Roman" w:cs="Times New Roman"/>
          <w:b/>
          <w:bCs/>
          <w:color w:val="00000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63E312B" w14:textId="7D8B3E90" w:rsidR="00EA70DB" w:rsidRPr="00AD4AE1" w:rsidRDefault="00200299"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Pr>
          <w:rFonts w:eastAsia="Times New Roman" w:cs="Times New Roman"/>
          <w:color w:val="000000"/>
          <w:sz w:val="24"/>
          <w:szCs w:val="24"/>
        </w:rPr>
        <w:t xml:space="preserve">Найменування замовника: </w:t>
      </w:r>
      <w:r w:rsidR="001976F9" w:rsidRPr="00AD4AE1">
        <w:rPr>
          <w:rFonts w:eastAsia="Times New Roman" w:cs="Times New Roman"/>
          <w:color w:val="000000"/>
          <w:sz w:val="24"/>
          <w:szCs w:val="24"/>
        </w:rPr>
        <w:t>Волинський обласний центр зайнятості</w:t>
      </w:r>
    </w:p>
    <w:p w14:paraId="4AF123A0" w14:textId="7D9D7497" w:rsidR="00EA70DB" w:rsidRPr="00AD4AE1" w:rsidRDefault="00200299"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Pr>
          <w:rFonts w:eastAsia="Times New Roman" w:cs="Times New Roman"/>
          <w:color w:val="000000"/>
          <w:sz w:val="24"/>
          <w:szCs w:val="24"/>
        </w:rPr>
        <w:t xml:space="preserve">Місцезнаходження замовника: </w:t>
      </w:r>
      <w:r w:rsidR="001976F9" w:rsidRPr="00AD4AE1">
        <w:rPr>
          <w:rFonts w:eastAsia="Times New Roman" w:cs="Times New Roman"/>
          <w:color w:val="000000"/>
          <w:sz w:val="24"/>
          <w:szCs w:val="24"/>
        </w:rPr>
        <w:t>43025, Україна, Волинська обл</w:t>
      </w:r>
      <w:r w:rsidR="00040707" w:rsidRPr="00AD4AE1">
        <w:rPr>
          <w:rFonts w:eastAsia="Times New Roman" w:cs="Times New Roman"/>
          <w:color w:val="000000"/>
          <w:sz w:val="24"/>
          <w:szCs w:val="24"/>
        </w:rPr>
        <w:t>асть</w:t>
      </w:r>
      <w:r w:rsidR="001976F9" w:rsidRPr="00AD4AE1">
        <w:rPr>
          <w:rFonts w:eastAsia="Times New Roman" w:cs="Times New Roman"/>
          <w:color w:val="000000"/>
          <w:sz w:val="24"/>
          <w:szCs w:val="24"/>
        </w:rPr>
        <w:t>, м. Луцьк, вул. Богдана Хмельницького, 3</w:t>
      </w:r>
      <w:r w:rsidR="00774CCD">
        <w:rPr>
          <w:rFonts w:eastAsia="Times New Roman" w:cs="Times New Roman"/>
          <w:color w:val="000000"/>
          <w:sz w:val="24"/>
          <w:szCs w:val="24"/>
        </w:rPr>
        <w:t>А</w:t>
      </w:r>
    </w:p>
    <w:p w14:paraId="1FF08546" w14:textId="3228ABAF"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Код за</w:t>
      </w:r>
      <w:r w:rsidR="00200299">
        <w:rPr>
          <w:rFonts w:eastAsia="Times New Roman" w:cs="Times New Roman"/>
          <w:color w:val="000000"/>
          <w:sz w:val="24"/>
          <w:szCs w:val="24"/>
        </w:rPr>
        <w:t>мовника за</w:t>
      </w:r>
      <w:r w:rsidRPr="00AD4AE1">
        <w:rPr>
          <w:rFonts w:eastAsia="Times New Roman" w:cs="Times New Roman"/>
          <w:color w:val="000000"/>
          <w:sz w:val="24"/>
          <w:szCs w:val="24"/>
        </w:rPr>
        <w:t xml:space="preserve"> ЄДРПОУ</w:t>
      </w:r>
      <w:r w:rsidR="0029520B" w:rsidRPr="00AD4AE1">
        <w:rPr>
          <w:rFonts w:eastAsia="Times New Roman" w:cs="Times New Roman"/>
          <w:color w:val="000000"/>
          <w:sz w:val="24"/>
          <w:szCs w:val="24"/>
        </w:rPr>
        <w:t>:</w:t>
      </w:r>
      <w:r w:rsidR="001976F9" w:rsidRPr="00AD4AE1">
        <w:rPr>
          <w:rFonts w:eastAsia="Times New Roman" w:cs="Times New Roman"/>
          <w:color w:val="000000"/>
          <w:sz w:val="24"/>
          <w:szCs w:val="24"/>
        </w:rPr>
        <w:t xml:space="preserve"> 05427482</w:t>
      </w:r>
    </w:p>
    <w:p w14:paraId="6935813B" w14:textId="65C2B354" w:rsidR="00EA70DB" w:rsidRPr="00AD4AE1"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color w:val="000000"/>
          <w:sz w:val="24"/>
          <w:szCs w:val="24"/>
        </w:rPr>
      </w:pPr>
      <w:r w:rsidRPr="00AD4AE1">
        <w:rPr>
          <w:rFonts w:eastAsia="Times New Roman" w:cs="Times New Roman"/>
          <w:color w:val="000000"/>
          <w:sz w:val="24"/>
          <w:szCs w:val="24"/>
        </w:rPr>
        <w:t>К</w:t>
      </w:r>
      <w:r w:rsidR="0029520B" w:rsidRPr="00AD4AE1">
        <w:rPr>
          <w:rFonts w:eastAsia="Times New Roman" w:cs="Times New Roman"/>
          <w:color w:val="000000"/>
          <w:sz w:val="24"/>
          <w:szCs w:val="24"/>
        </w:rPr>
        <w:t xml:space="preserve">атегорія замовника: </w:t>
      </w:r>
      <w:r w:rsidR="001976F9" w:rsidRPr="00AD4AE1">
        <w:rPr>
          <w:rFonts w:eastAsia="Times New Roman" w:cs="Times New Roman"/>
          <w:color w:val="000000"/>
          <w:sz w:val="24"/>
          <w:szCs w:val="24"/>
        </w:rPr>
        <w:t>органи соціального страхування, зазначені у пункті 2 частини першої статті 2 Закону України «Про публічні закупівлі»</w:t>
      </w:r>
    </w:p>
    <w:p w14:paraId="6B87A985" w14:textId="77777777" w:rsidR="00AD1F46" w:rsidRDefault="00AD1F46" w:rsidP="00B436AB">
      <w:pPr>
        <w:pBdr>
          <w:top w:val="nil"/>
          <w:left w:val="nil"/>
          <w:bottom w:val="nil"/>
          <w:right w:val="nil"/>
          <w:between w:val="nil"/>
        </w:pBdr>
        <w:shd w:val="clear" w:color="auto" w:fill="FFFFFF"/>
        <w:tabs>
          <w:tab w:val="left" w:pos="720"/>
        </w:tabs>
        <w:spacing w:after="0"/>
        <w:jc w:val="both"/>
        <w:rPr>
          <w:rFonts w:eastAsia="Times New Roman" w:cs="Times New Roman"/>
          <w:b/>
          <w:bCs/>
          <w:color w:val="000000"/>
          <w:sz w:val="24"/>
          <w:szCs w:val="24"/>
        </w:rPr>
      </w:pPr>
    </w:p>
    <w:p w14:paraId="2CB225CD" w14:textId="62760CFE" w:rsidR="00B33746" w:rsidRPr="00B33746" w:rsidRDefault="0029520B" w:rsidP="007145DF">
      <w:pPr>
        <w:shd w:val="clear" w:color="auto" w:fill="FFFFFF"/>
        <w:spacing w:after="0"/>
        <w:jc w:val="both"/>
        <w:rPr>
          <w:rFonts w:eastAsia="Times New Roman" w:cs="Times New Roman"/>
          <w:color w:val="000000"/>
          <w:sz w:val="24"/>
          <w:szCs w:val="24"/>
        </w:rPr>
      </w:pPr>
      <w:r w:rsidRPr="00AD4AE1">
        <w:rPr>
          <w:rFonts w:cs="Times New Roman"/>
          <w:b/>
          <w:bCs/>
          <w:color w:val="000000"/>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bookmarkStart w:id="1" w:name="bookmark=id.3rdcrjn" w:colFirst="0" w:colLast="0"/>
      <w:bookmarkEnd w:id="1"/>
      <w:r w:rsidR="007145DF">
        <w:rPr>
          <w:rFonts w:cs="Times New Roman"/>
          <w:b/>
          <w:bCs/>
          <w:color w:val="000000"/>
          <w:sz w:val="24"/>
          <w:szCs w:val="24"/>
        </w:rPr>
        <w:t xml:space="preserve"> </w:t>
      </w:r>
      <w:r w:rsidR="00B33746" w:rsidRPr="00B33746">
        <w:rPr>
          <w:rFonts w:eastAsia="Times New Roman" w:cs="Times New Roman"/>
          <w:color w:val="000000"/>
          <w:sz w:val="24"/>
          <w:szCs w:val="24"/>
        </w:rPr>
        <w:t>Природний газ (код ДК 021:2015:09120000-6 - Газове паливо)</w:t>
      </w:r>
    </w:p>
    <w:p w14:paraId="5227CEBD" w14:textId="77777777" w:rsidR="00AD4AE1" w:rsidRDefault="00AD4AE1"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bookmarkStart w:id="2" w:name="bookmark=id.26in1rg" w:colFirst="0" w:colLast="0"/>
      <w:bookmarkEnd w:id="2"/>
    </w:p>
    <w:p w14:paraId="055E1B05" w14:textId="057F3240" w:rsidR="00EA70DB" w:rsidRPr="00AD4AE1" w:rsidRDefault="0029520B" w:rsidP="00B436AB">
      <w:pPr>
        <w:pBdr>
          <w:top w:val="nil"/>
          <w:left w:val="nil"/>
          <w:bottom w:val="nil"/>
          <w:right w:val="nil"/>
          <w:between w:val="nil"/>
        </w:pBdr>
        <w:shd w:val="clear" w:color="auto" w:fill="FFFFFF"/>
        <w:spacing w:after="0"/>
        <w:jc w:val="both"/>
        <w:rPr>
          <w:rFonts w:eastAsia="Times New Roman" w:cs="Times New Roman"/>
          <w:sz w:val="24"/>
          <w:szCs w:val="24"/>
        </w:rPr>
      </w:pPr>
      <w:r w:rsidRPr="00AD4AE1">
        <w:rPr>
          <w:rFonts w:eastAsia="Times New Roman" w:cs="Times New Roman"/>
          <w:b/>
          <w:bCs/>
          <w:color w:val="000000"/>
          <w:sz w:val="24"/>
          <w:szCs w:val="24"/>
        </w:rPr>
        <w:t xml:space="preserve">3. </w:t>
      </w:r>
      <w:r w:rsidR="00040707" w:rsidRPr="00AD4AE1">
        <w:rPr>
          <w:rFonts w:eastAsia="Times New Roman" w:cs="Times New Roman"/>
          <w:b/>
          <w:bCs/>
          <w:color w:val="000000"/>
          <w:sz w:val="24"/>
          <w:szCs w:val="24"/>
        </w:rPr>
        <w:t>Процедура закупівлі</w:t>
      </w:r>
      <w:r w:rsidRPr="00AD4AE1">
        <w:rPr>
          <w:rFonts w:eastAsia="Times New Roman" w:cs="Times New Roman"/>
          <w:b/>
          <w:bCs/>
          <w:sz w:val="24"/>
          <w:szCs w:val="24"/>
        </w:rPr>
        <w:t>:</w:t>
      </w:r>
      <w:r w:rsidR="00040707" w:rsidRPr="00AD4AE1">
        <w:rPr>
          <w:rFonts w:eastAsia="Times New Roman" w:cs="Times New Roman"/>
          <w:b/>
          <w:bCs/>
          <w:sz w:val="24"/>
          <w:szCs w:val="24"/>
        </w:rPr>
        <w:t xml:space="preserve"> </w:t>
      </w:r>
      <w:r w:rsidR="00040707" w:rsidRPr="00AD4AE1">
        <w:rPr>
          <w:rFonts w:eastAsia="Times New Roman" w:cs="Times New Roman"/>
          <w:sz w:val="24"/>
          <w:szCs w:val="24"/>
        </w:rPr>
        <w:t>Відкриті торги</w:t>
      </w:r>
      <w:r w:rsidR="00200299">
        <w:rPr>
          <w:rFonts w:eastAsia="Times New Roman" w:cs="Times New Roman"/>
          <w:sz w:val="24"/>
          <w:szCs w:val="24"/>
        </w:rPr>
        <w:t xml:space="preserve"> (з особливостями)</w:t>
      </w:r>
    </w:p>
    <w:p w14:paraId="2E43DF88" w14:textId="77777777" w:rsidR="00AD4AE1" w:rsidRDefault="00AD4AE1" w:rsidP="00B436AB">
      <w:pPr>
        <w:pBdr>
          <w:top w:val="nil"/>
          <w:left w:val="nil"/>
          <w:bottom w:val="nil"/>
          <w:right w:val="nil"/>
          <w:between w:val="nil"/>
        </w:pBdr>
        <w:shd w:val="clear" w:color="auto" w:fill="FFFFFF"/>
        <w:spacing w:after="0"/>
        <w:jc w:val="both"/>
        <w:rPr>
          <w:rFonts w:eastAsia="Times New Roman" w:cs="Times New Roman"/>
          <w:b/>
          <w:bCs/>
          <w:sz w:val="24"/>
          <w:szCs w:val="24"/>
        </w:rPr>
      </w:pPr>
    </w:p>
    <w:p w14:paraId="28C8B0F9" w14:textId="66B9CA7F" w:rsidR="00B6616B" w:rsidRPr="005608CE" w:rsidRDefault="00B6616B" w:rsidP="00B436AB">
      <w:pPr>
        <w:pBdr>
          <w:top w:val="nil"/>
          <w:left w:val="nil"/>
          <w:bottom w:val="nil"/>
          <w:right w:val="nil"/>
          <w:between w:val="nil"/>
        </w:pBdr>
        <w:shd w:val="clear" w:color="auto" w:fill="FFFFFF"/>
        <w:spacing w:after="0"/>
        <w:jc w:val="both"/>
        <w:rPr>
          <w:rFonts w:eastAsia="Times New Roman" w:cs="Times New Roman"/>
          <w:color w:val="000000"/>
          <w:sz w:val="24"/>
          <w:szCs w:val="24"/>
        </w:rPr>
      </w:pPr>
      <w:r w:rsidRPr="005608CE">
        <w:rPr>
          <w:rFonts w:eastAsia="Times New Roman" w:cs="Times New Roman"/>
          <w:b/>
          <w:bCs/>
          <w:color w:val="000000"/>
          <w:sz w:val="24"/>
          <w:szCs w:val="24"/>
        </w:rPr>
        <w:t>4.</w:t>
      </w:r>
      <w:r w:rsidR="007145DF">
        <w:rPr>
          <w:rFonts w:eastAsia="Times New Roman" w:cs="Times New Roman"/>
          <w:b/>
          <w:bCs/>
          <w:color w:val="000000"/>
          <w:sz w:val="24"/>
          <w:szCs w:val="24"/>
        </w:rPr>
        <w:t xml:space="preserve"> Вид та і</w:t>
      </w:r>
      <w:r w:rsidRPr="005608CE">
        <w:rPr>
          <w:rFonts w:eastAsia="Times New Roman" w:cs="Times New Roman"/>
          <w:b/>
          <w:bCs/>
          <w:color w:val="000000"/>
          <w:sz w:val="24"/>
          <w:szCs w:val="24"/>
        </w:rPr>
        <w:t>дентифікатор закупівлі:</w:t>
      </w:r>
      <w:r w:rsidR="007145DF">
        <w:rPr>
          <w:rFonts w:eastAsia="Times New Roman" w:cs="Times New Roman"/>
          <w:b/>
          <w:bCs/>
          <w:color w:val="000000"/>
          <w:sz w:val="24"/>
          <w:szCs w:val="24"/>
        </w:rPr>
        <w:t xml:space="preserve"> </w:t>
      </w:r>
      <w:r w:rsidR="007145DF" w:rsidRPr="007145DF">
        <w:rPr>
          <w:rFonts w:eastAsia="Times New Roman" w:cs="Times New Roman"/>
          <w:color w:val="000000"/>
          <w:sz w:val="24"/>
          <w:szCs w:val="24"/>
        </w:rPr>
        <w:t>Товари</w:t>
      </w:r>
      <w:r w:rsidR="005608CE">
        <w:rPr>
          <w:rFonts w:eastAsia="Times New Roman" w:cs="Times New Roman"/>
          <w:b/>
          <w:bCs/>
          <w:color w:val="000000"/>
          <w:sz w:val="24"/>
          <w:szCs w:val="24"/>
          <w:lang w:val="en-US"/>
        </w:rPr>
        <w:t xml:space="preserve"> </w:t>
      </w:r>
      <w:r w:rsidR="003E4291" w:rsidRPr="003E4291">
        <w:rPr>
          <w:rFonts w:eastAsia="Times New Roman" w:cs="Times New Roman"/>
          <w:sz w:val="24"/>
          <w:szCs w:val="24"/>
        </w:rPr>
        <w:t>UA-2023-12-05-014769-a</w:t>
      </w:r>
    </w:p>
    <w:p w14:paraId="3408D1DF" w14:textId="77777777" w:rsidR="00AD4AE1" w:rsidRDefault="00AD4AE1" w:rsidP="00B436AB">
      <w:pPr>
        <w:pBdr>
          <w:top w:val="nil"/>
          <w:left w:val="nil"/>
          <w:bottom w:val="nil"/>
          <w:right w:val="nil"/>
          <w:between w:val="nil"/>
        </w:pBdr>
        <w:shd w:val="clear" w:color="auto" w:fill="FFFFFF"/>
        <w:spacing w:after="0"/>
        <w:jc w:val="both"/>
        <w:rPr>
          <w:rFonts w:eastAsia="Times New Roman" w:cs="Times New Roman"/>
          <w:b/>
          <w:bCs/>
          <w:sz w:val="24"/>
          <w:szCs w:val="24"/>
        </w:rPr>
      </w:pPr>
    </w:p>
    <w:p w14:paraId="206B6B1E" w14:textId="38E065F1" w:rsidR="00AA2034" w:rsidRPr="005F79A9" w:rsidRDefault="00AA2034" w:rsidP="00B436AB">
      <w:pPr>
        <w:pBdr>
          <w:top w:val="nil"/>
          <w:left w:val="nil"/>
          <w:bottom w:val="nil"/>
          <w:right w:val="nil"/>
          <w:between w:val="nil"/>
        </w:pBdr>
        <w:shd w:val="clear" w:color="auto" w:fill="FFFFFF"/>
        <w:spacing w:after="0"/>
        <w:jc w:val="both"/>
        <w:rPr>
          <w:rFonts w:eastAsia="Times New Roman" w:cs="Times New Roman"/>
          <w:sz w:val="24"/>
          <w:szCs w:val="24"/>
        </w:rPr>
      </w:pPr>
      <w:r>
        <w:rPr>
          <w:rFonts w:eastAsia="Times New Roman" w:cs="Times New Roman"/>
          <w:b/>
          <w:bCs/>
          <w:sz w:val="24"/>
          <w:szCs w:val="24"/>
        </w:rPr>
        <w:t xml:space="preserve">5. Розмір </w:t>
      </w:r>
      <w:r w:rsidR="00FD6D14" w:rsidRPr="005F79A9">
        <w:rPr>
          <w:rFonts w:eastAsia="Times New Roman" w:cs="Times New Roman"/>
          <w:b/>
          <w:bCs/>
          <w:sz w:val="24"/>
          <w:szCs w:val="24"/>
        </w:rPr>
        <w:t>кошторис</w:t>
      </w:r>
      <w:r w:rsidRPr="005F79A9">
        <w:rPr>
          <w:rFonts w:eastAsia="Times New Roman" w:cs="Times New Roman"/>
          <w:b/>
          <w:bCs/>
          <w:sz w:val="24"/>
          <w:szCs w:val="24"/>
        </w:rPr>
        <w:t>ного призначення:</w:t>
      </w:r>
      <w:r w:rsidR="00FD6D14" w:rsidRPr="005F79A9">
        <w:rPr>
          <w:rFonts w:eastAsia="Times New Roman" w:cs="Times New Roman"/>
          <w:b/>
          <w:bCs/>
          <w:sz w:val="24"/>
          <w:szCs w:val="24"/>
        </w:rPr>
        <w:t xml:space="preserve"> </w:t>
      </w:r>
      <w:r w:rsidR="003E4291">
        <w:rPr>
          <w:rFonts w:eastAsia="Times New Roman" w:cs="Times New Roman"/>
          <w:sz w:val="24"/>
          <w:szCs w:val="24"/>
        </w:rPr>
        <w:t>842593</w:t>
      </w:r>
      <w:r w:rsidR="005608CE" w:rsidRPr="005608CE">
        <w:rPr>
          <w:rFonts w:eastAsia="Times New Roman" w:cs="Times New Roman"/>
          <w:sz w:val="24"/>
          <w:szCs w:val="24"/>
        </w:rPr>
        <w:t xml:space="preserve"> грн</w:t>
      </w:r>
      <w:r w:rsidR="005608CE">
        <w:rPr>
          <w:rFonts w:eastAsia="Times New Roman" w:cs="Times New Roman"/>
          <w:sz w:val="24"/>
          <w:szCs w:val="24"/>
          <w:lang w:val="en-US"/>
        </w:rPr>
        <w:t xml:space="preserve"> </w:t>
      </w:r>
      <w:r w:rsidR="00B33746">
        <w:rPr>
          <w:rFonts w:eastAsia="Times New Roman" w:cs="Times New Roman"/>
          <w:sz w:val="24"/>
          <w:szCs w:val="24"/>
        </w:rPr>
        <w:t>0</w:t>
      </w:r>
      <w:r w:rsidR="003E4291">
        <w:rPr>
          <w:rFonts w:eastAsia="Times New Roman" w:cs="Times New Roman"/>
          <w:sz w:val="24"/>
          <w:szCs w:val="24"/>
        </w:rPr>
        <w:t>0</w:t>
      </w:r>
      <w:r w:rsidR="005608CE">
        <w:rPr>
          <w:rFonts w:eastAsia="Times New Roman" w:cs="Times New Roman"/>
          <w:sz w:val="24"/>
          <w:szCs w:val="24"/>
          <w:lang w:val="en-US"/>
        </w:rPr>
        <w:t xml:space="preserve"> </w:t>
      </w:r>
      <w:r w:rsidR="005608CE">
        <w:rPr>
          <w:rFonts w:eastAsia="Times New Roman" w:cs="Times New Roman"/>
          <w:sz w:val="24"/>
          <w:szCs w:val="24"/>
        </w:rPr>
        <w:t>коп</w:t>
      </w:r>
      <w:r w:rsidR="002828B1">
        <w:rPr>
          <w:rFonts w:eastAsia="Times New Roman" w:cs="Times New Roman"/>
          <w:sz w:val="24"/>
          <w:szCs w:val="24"/>
        </w:rPr>
        <w:t>.</w:t>
      </w:r>
      <w:r w:rsidR="00FD6D14" w:rsidRPr="00315247">
        <w:rPr>
          <w:rFonts w:eastAsia="Times New Roman" w:cs="Times New Roman"/>
          <w:sz w:val="24"/>
          <w:szCs w:val="24"/>
        </w:rPr>
        <w:t xml:space="preserve"> з ПДВ</w:t>
      </w:r>
    </w:p>
    <w:p w14:paraId="7625BFE3" w14:textId="035B4DBE" w:rsidR="005F79A9" w:rsidRPr="003E4291" w:rsidRDefault="003E4291" w:rsidP="005F79A9">
      <w:pPr>
        <w:pBdr>
          <w:top w:val="nil"/>
          <w:left w:val="nil"/>
          <w:bottom w:val="nil"/>
          <w:right w:val="nil"/>
          <w:between w:val="nil"/>
        </w:pBdr>
        <w:shd w:val="clear" w:color="auto" w:fill="FFFFFF"/>
        <w:spacing w:after="0"/>
        <w:ind w:firstLine="567"/>
        <w:jc w:val="both"/>
        <w:rPr>
          <w:rFonts w:eastAsia="Times New Roman" w:cs="Times New Roman"/>
          <w:color w:val="000000"/>
          <w:sz w:val="24"/>
          <w:szCs w:val="24"/>
        </w:rPr>
      </w:pPr>
      <w:r w:rsidRPr="003E4291">
        <w:rPr>
          <w:rFonts w:eastAsia="Times New Roman" w:cs="Times New Roman"/>
          <w:color w:val="000000"/>
          <w:sz w:val="24"/>
          <w:szCs w:val="24"/>
        </w:rPr>
        <w:t>Відповідно до листа Мінекономіки 3304-04/54160-06 від 03.09.2020 Законом не встановлено обов’язку замовника складати та затверджувати річний план закупівель на підставі кошторису (тимчасового кошторису), фінансового плану.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2024 році, може наприкінці поточного 2023 року розпочати закупівлю за відповідним предметом закупівлі.</w:t>
      </w:r>
    </w:p>
    <w:p w14:paraId="566D05EE" w14:textId="36236DA5" w:rsidR="00AA2034" w:rsidRDefault="00AA2034" w:rsidP="00B436AB">
      <w:pPr>
        <w:pBdr>
          <w:top w:val="nil"/>
          <w:left w:val="nil"/>
          <w:bottom w:val="nil"/>
          <w:right w:val="nil"/>
          <w:between w:val="nil"/>
        </w:pBdr>
        <w:shd w:val="clear" w:color="auto" w:fill="FFFFFF"/>
        <w:spacing w:after="0"/>
        <w:jc w:val="both"/>
        <w:rPr>
          <w:rFonts w:eastAsia="Times New Roman" w:cs="Times New Roman"/>
          <w:b/>
          <w:bCs/>
          <w:sz w:val="24"/>
          <w:szCs w:val="24"/>
        </w:rPr>
      </w:pPr>
      <w:r>
        <w:rPr>
          <w:rFonts w:eastAsia="Times New Roman" w:cs="Times New Roman"/>
          <w:b/>
          <w:bCs/>
          <w:sz w:val="24"/>
          <w:szCs w:val="24"/>
        </w:rPr>
        <w:t xml:space="preserve">6. </w:t>
      </w:r>
      <w:r w:rsidR="003142F4">
        <w:rPr>
          <w:rFonts w:eastAsia="Times New Roman" w:cs="Times New Roman"/>
          <w:b/>
          <w:bCs/>
          <w:sz w:val="24"/>
          <w:szCs w:val="24"/>
        </w:rPr>
        <w:t>Обґрунтування</w:t>
      </w:r>
      <w:r>
        <w:rPr>
          <w:rFonts w:eastAsia="Times New Roman" w:cs="Times New Roman"/>
          <w:b/>
          <w:bCs/>
          <w:sz w:val="24"/>
          <w:szCs w:val="24"/>
        </w:rPr>
        <w:t xml:space="preserve"> технічних та якісних характеристик предмета закупівлі:</w:t>
      </w:r>
    </w:p>
    <w:p w14:paraId="66BD25FF" w14:textId="77777777"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 xml:space="preserve">Природний газ (природний газ, нафтовий (попутний) газ, газ (метан) вугільних родовищ та газ сланцевих </w:t>
      </w:r>
      <w:proofErr w:type="spellStart"/>
      <w:r w:rsidRPr="00B33746">
        <w:rPr>
          <w:rFonts w:eastAsia="Times New Roman" w:cs="Times New Roman"/>
          <w:sz w:val="24"/>
          <w:szCs w:val="24"/>
        </w:rPr>
        <w:t>товщ</w:t>
      </w:r>
      <w:proofErr w:type="spellEnd"/>
      <w:r w:rsidRPr="00B33746">
        <w:rPr>
          <w:rFonts w:eastAsia="Times New Roman" w:cs="Times New Roman"/>
          <w:sz w:val="24"/>
          <w:szCs w:val="24"/>
        </w:rPr>
        <w:t>)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01679F27" w14:textId="77777777"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Кількісною характеристикою предмета закупівлі є обсяг споживання природного газу.</w:t>
      </w:r>
    </w:p>
    <w:p w14:paraId="7F5143C7" w14:textId="583F2560"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w:t>
      </w:r>
      <w:r w:rsidR="0023552A">
        <w:rPr>
          <w:rFonts w:eastAsia="Times New Roman" w:cs="Times New Roman"/>
          <w:sz w:val="24"/>
          <w:szCs w:val="24"/>
        </w:rPr>
        <w:t xml:space="preserve"> відокремлених структурних підрозділів</w:t>
      </w:r>
      <w:r w:rsidRPr="00B33746">
        <w:rPr>
          <w:rFonts w:eastAsia="Times New Roman" w:cs="Times New Roman"/>
          <w:sz w:val="24"/>
          <w:szCs w:val="24"/>
        </w:rPr>
        <w:t xml:space="preserve"> замовника становить </w:t>
      </w:r>
      <w:r w:rsidR="0023552A">
        <w:rPr>
          <w:rFonts w:eastAsia="Times New Roman" w:cs="Times New Roman"/>
          <w:sz w:val="24"/>
          <w:szCs w:val="24"/>
        </w:rPr>
        <w:t>39,34 тис.</w:t>
      </w:r>
      <w:r w:rsidRPr="00B33746">
        <w:rPr>
          <w:rFonts w:eastAsia="Times New Roman" w:cs="Times New Roman"/>
          <w:sz w:val="24"/>
          <w:szCs w:val="24"/>
        </w:rPr>
        <w:t xml:space="preserve"> куб. м.</w:t>
      </w:r>
    </w:p>
    <w:p w14:paraId="6BA2145D" w14:textId="5F600DAD"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Термін постачання —</w:t>
      </w:r>
      <w:r w:rsidR="0023552A">
        <w:rPr>
          <w:rFonts w:eastAsia="Times New Roman" w:cs="Times New Roman"/>
          <w:sz w:val="24"/>
          <w:szCs w:val="24"/>
        </w:rPr>
        <w:t xml:space="preserve"> </w:t>
      </w:r>
      <w:r w:rsidRPr="00B33746">
        <w:rPr>
          <w:rFonts w:eastAsia="Times New Roman" w:cs="Times New Roman"/>
          <w:sz w:val="24"/>
          <w:szCs w:val="24"/>
        </w:rPr>
        <w:t xml:space="preserve">до </w:t>
      </w:r>
      <w:r w:rsidR="003E4291">
        <w:rPr>
          <w:rFonts w:eastAsia="Times New Roman" w:cs="Times New Roman"/>
          <w:sz w:val="24"/>
          <w:szCs w:val="24"/>
        </w:rPr>
        <w:t>15</w:t>
      </w:r>
      <w:r w:rsidRPr="00B33746">
        <w:rPr>
          <w:rFonts w:eastAsia="Times New Roman" w:cs="Times New Roman"/>
          <w:sz w:val="24"/>
          <w:szCs w:val="24"/>
        </w:rPr>
        <w:t xml:space="preserve"> </w:t>
      </w:r>
      <w:r w:rsidR="003E4291">
        <w:rPr>
          <w:rFonts w:eastAsia="Times New Roman" w:cs="Times New Roman"/>
          <w:sz w:val="24"/>
          <w:szCs w:val="24"/>
        </w:rPr>
        <w:t>квітня</w:t>
      </w:r>
      <w:r w:rsidRPr="00B33746">
        <w:rPr>
          <w:rFonts w:eastAsia="Times New Roman" w:cs="Times New Roman"/>
          <w:sz w:val="24"/>
          <w:szCs w:val="24"/>
        </w:rPr>
        <w:t xml:space="preserve"> 202</w:t>
      </w:r>
      <w:r w:rsidR="003E4291">
        <w:rPr>
          <w:rFonts w:eastAsia="Times New Roman" w:cs="Times New Roman"/>
          <w:sz w:val="24"/>
          <w:szCs w:val="24"/>
        </w:rPr>
        <w:t>4</w:t>
      </w:r>
      <w:r w:rsidRPr="00B33746">
        <w:rPr>
          <w:rFonts w:eastAsia="Times New Roman" w:cs="Times New Roman"/>
          <w:sz w:val="24"/>
          <w:szCs w:val="24"/>
        </w:rPr>
        <w:t xml:space="preserve"> р</w:t>
      </w:r>
      <w:r w:rsidR="00EE347C">
        <w:rPr>
          <w:rFonts w:eastAsia="Times New Roman" w:cs="Times New Roman"/>
          <w:sz w:val="24"/>
          <w:szCs w:val="24"/>
        </w:rPr>
        <w:t xml:space="preserve"> (включно)</w:t>
      </w:r>
      <w:r w:rsidRPr="00B33746">
        <w:rPr>
          <w:rFonts w:eastAsia="Times New Roman" w:cs="Times New Roman"/>
          <w:sz w:val="24"/>
          <w:szCs w:val="24"/>
        </w:rPr>
        <w:t>.</w:t>
      </w:r>
    </w:p>
    <w:p w14:paraId="43F42EE4" w14:textId="77777777"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w:t>
      </w:r>
      <w:r w:rsidRPr="00B33746">
        <w:rPr>
          <w:rFonts w:eastAsia="Times New Roman" w:cs="Times New Roman"/>
          <w:sz w:val="24"/>
          <w:szCs w:val="24"/>
        </w:rPr>
        <w:lastRenderedPageBreak/>
        <w:t>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14:paraId="09B7CB74" w14:textId="77777777" w:rsidR="00B33746" w:rsidRPr="00B33746" w:rsidRDefault="00B33746" w:rsidP="00B33746">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B33746">
        <w:rPr>
          <w:rFonts w:eastAsia="Times New Roman" w:cs="Times New Roman"/>
          <w:sz w:val="24"/>
          <w:szCs w:val="24"/>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 2493 та Кодексом № 2494.</w:t>
      </w:r>
    </w:p>
    <w:p w14:paraId="7FFD94D1" w14:textId="77777777" w:rsidR="00BB6F3D" w:rsidRDefault="00BB6F3D" w:rsidP="00B436AB">
      <w:pPr>
        <w:widowControl w:val="0"/>
        <w:pBdr>
          <w:top w:val="nil"/>
          <w:left w:val="nil"/>
          <w:bottom w:val="nil"/>
          <w:right w:val="nil"/>
          <w:between w:val="nil"/>
        </w:pBdr>
        <w:spacing w:after="0"/>
        <w:jc w:val="both"/>
        <w:rPr>
          <w:rFonts w:eastAsia="Times New Roman" w:cs="Times New Roman"/>
          <w:sz w:val="24"/>
          <w:szCs w:val="24"/>
        </w:rPr>
      </w:pPr>
    </w:p>
    <w:p w14:paraId="1FFF755E" w14:textId="6F5D7B47" w:rsidR="00FD6D14" w:rsidRPr="005F79A9" w:rsidRDefault="00BB6F3D" w:rsidP="00B436AB">
      <w:pPr>
        <w:widowControl w:val="0"/>
        <w:pBdr>
          <w:top w:val="nil"/>
          <w:left w:val="nil"/>
          <w:bottom w:val="nil"/>
          <w:right w:val="nil"/>
          <w:between w:val="nil"/>
        </w:pBdr>
        <w:spacing w:after="0"/>
        <w:jc w:val="both"/>
        <w:rPr>
          <w:rFonts w:eastAsiaTheme="minorHAnsi" w:cs="Times New Roman"/>
          <w:b/>
          <w:bCs/>
          <w:color w:val="000000" w:themeColor="text1"/>
          <w:sz w:val="24"/>
          <w:szCs w:val="24"/>
          <w:lang w:eastAsia="en-US"/>
        </w:rPr>
      </w:pPr>
      <w:r w:rsidRPr="00B97B6A">
        <w:rPr>
          <w:rFonts w:eastAsia="Times New Roman" w:cs="Times New Roman"/>
          <w:b/>
          <w:bCs/>
          <w:sz w:val="24"/>
          <w:szCs w:val="24"/>
        </w:rPr>
        <w:t xml:space="preserve">7. </w:t>
      </w:r>
      <w:proofErr w:type="spellStart"/>
      <w:r w:rsidR="00FD6D14" w:rsidRPr="005F79A9">
        <w:rPr>
          <w:rFonts w:eastAsiaTheme="minorHAnsi" w:cs="Times New Roman"/>
          <w:b/>
          <w:bCs/>
          <w:color w:val="000000" w:themeColor="text1"/>
          <w:sz w:val="24"/>
          <w:szCs w:val="24"/>
          <w:lang w:eastAsia="en-US"/>
        </w:rPr>
        <w:t>Обгрунтування</w:t>
      </w:r>
      <w:proofErr w:type="spellEnd"/>
      <w:r w:rsidR="00FD6D14" w:rsidRPr="005F79A9">
        <w:rPr>
          <w:rFonts w:eastAsiaTheme="minorHAnsi" w:cs="Times New Roman"/>
          <w:b/>
          <w:bCs/>
          <w:color w:val="000000" w:themeColor="text1"/>
          <w:sz w:val="24"/>
          <w:szCs w:val="24"/>
          <w:lang w:eastAsia="en-US"/>
        </w:rPr>
        <w:t xml:space="preserve"> очікуваної вартості</w:t>
      </w:r>
      <w:r w:rsidR="005F79A9" w:rsidRPr="005F79A9">
        <w:rPr>
          <w:rFonts w:eastAsiaTheme="minorHAnsi" w:cs="Times New Roman"/>
          <w:b/>
          <w:bCs/>
          <w:color w:val="000000" w:themeColor="text1"/>
          <w:sz w:val="24"/>
          <w:szCs w:val="24"/>
          <w:lang w:eastAsia="en-US"/>
        </w:rPr>
        <w:t xml:space="preserve"> предмета закупівлі:</w:t>
      </w:r>
    </w:p>
    <w:p w14:paraId="29596EA0" w14:textId="05585E7F" w:rsidR="00507B0C" w:rsidRPr="00507B0C" w:rsidRDefault="00507B0C" w:rsidP="00507B0C">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507B0C">
        <w:rPr>
          <w:rFonts w:eastAsia="Times New Roman" w:cs="Times New Roman"/>
          <w:sz w:val="24"/>
          <w:szCs w:val="24"/>
        </w:rPr>
        <w:t>Зважаючи на те, що максимальна економія та ефективність визначен</w:t>
      </w:r>
      <w:r w:rsidR="00062F4D">
        <w:rPr>
          <w:rFonts w:eastAsia="Times New Roman" w:cs="Times New Roman"/>
          <w:sz w:val="24"/>
          <w:szCs w:val="24"/>
        </w:rPr>
        <w:t>а</w:t>
      </w:r>
      <w:r w:rsidRPr="00507B0C">
        <w:rPr>
          <w:rFonts w:eastAsia="Times New Roman" w:cs="Times New Roman"/>
          <w:sz w:val="24"/>
          <w:szCs w:val="24"/>
        </w:rPr>
        <w:t xml:space="preserve"> принципами здійснення публічних закупівель, розрахунок очікуваної вартості проведено згідно з аналізом цін </w:t>
      </w:r>
      <w:proofErr w:type="spellStart"/>
      <w:r w:rsidRPr="00507B0C">
        <w:rPr>
          <w:rFonts w:eastAsia="Times New Roman" w:cs="Times New Roman"/>
          <w:sz w:val="24"/>
          <w:szCs w:val="24"/>
        </w:rPr>
        <w:t>газопостачальників</w:t>
      </w:r>
      <w:proofErr w:type="spellEnd"/>
      <w:r w:rsidRPr="00507B0C">
        <w:rPr>
          <w:rFonts w:eastAsia="Times New Roman" w:cs="Times New Roman"/>
          <w:sz w:val="24"/>
          <w:szCs w:val="24"/>
        </w:rPr>
        <w:t xml:space="preserve"> на ринку природного газу на дату формування очікуваної вартості предмета закупівлі, а так</w:t>
      </w:r>
      <w:r w:rsidR="00062F4D">
        <w:rPr>
          <w:rFonts w:eastAsia="Times New Roman" w:cs="Times New Roman"/>
          <w:sz w:val="24"/>
          <w:szCs w:val="24"/>
        </w:rPr>
        <w:t xml:space="preserve">ож </w:t>
      </w:r>
      <w:r w:rsidRPr="00507B0C">
        <w:rPr>
          <w:rFonts w:eastAsia="Times New Roman" w:cs="Times New Roman"/>
          <w:sz w:val="24"/>
          <w:szCs w:val="24"/>
        </w:rPr>
        <w:t>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w:t>
      </w:r>
      <w:r w:rsidR="0023552A">
        <w:rPr>
          <w:rFonts w:eastAsia="Times New Roman" w:cs="Times New Roman"/>
          <w:sz w:val="24"/>
          <w:szCs w:val="24"/>
        </w:rPr>
        <w:t xml:space="preserve"> (далі - Положення).</w:t>
      </w:r>
    </w:p>
    <w:p w14:paraId="66F5CA09" w14:textId="77777777" w:rsidR="00507B0C" w:rsidRPr="00507B0C" w:rsidRDefault="00507B0C" w:rsidP="00507B0C">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507B0C">
        <w:rPr>
          <w:rFonts w:eastAsia="Times New Roman" w:cs="Times New Roman"/>
          <w:sz w:val="24"/>
          <w:szCs w:val="24"/>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507B0C">
        <w:rPr>
          <w:rFonts w:eastAsia="Times New Roman" w:cs="Times New Roman"/>
          <w:sz w:val="24"/>
          <w:szCs w:val="24"/>
        </w:rPr>
        <w:t>Трейдинг</w:t>
      </w:r>
      <w:proofErr w:type="spellEnd"/>
      <w:r w:rsidRPr="00507B0C">
        <w:rPr>
          <w:rFonts w:eastAsia="Times New Roman" w:cs="Times New Roman"/>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14:paraId="7E54BA45" w14:textId="0087AD68" w:rsidR="00507B0C" w:rsidRPr="00507B0C" w:rsidRDefault="00507B0C" w:rsidP="00507B0C">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507B0C">
        <w:rPr>
          <w:rFonts w:eastAsia="Times New Roman" w:cs="Times New Roman"/>
          <w:sz w:val="24"/>
          <w:szCs w:val="24"/>
        </w:rPr>
        <w:t xml:space="preserve">Пунктом 6 Положення визначено, що ТОВ «Газопостачальна компанія „Нафтогаз </w:t>
      </w:r>
      <w:proofErr w:type="spellStart"/>
      <w:r w:rsidRPr="00507B0C">
        <w:rPr>
          <w:rFonts w:eastAsia="Times New Roman" w:cs="Times New Roman"/>
          <w:sz w:val="24"/>
          <w:szCs w:val="24"/>
        </w:rPr>
        <w:t>Трейдинг</w:t>
      </w:r>
      <w:proofErr w:type="spellEnd"/>
      <w:r w:rsidRPr="00507B0C">
        <w:rPr>
          <w:rFonts w:eastAsia="Times New Roman" w:cs="Times New Roman"/>
          <w:sz w:val="24"/>
          <w:szCs w:val="24"/>
        </w:rPr>
        <w:t xml:space="preserve">“» може  постачати з 1 вересня 2022 р. </w:t>
      </w:r>
      <w:r w:rsidR="0023552A">
        <w:rPr>
          <w:rFonts w:eastAsia="Times New Roman" w:cs="Times New Roman"/>
          <w:sz w:val="24"/>
          <w:szCs w:val="24"/>
        </w:rPr>
        <w:t>д</w:t>
      </w:r>
      <w:r w:rsidRPr="00507B0C">
        <w:rPr>
          <w:rFonts w:eastAsia="Times New Roman" w:cs="Times New Roman"/>
          <w:sz w:val="24"/>
          <w:szCs w:val="24"/>
        </w:rPr>
        <w:t xml:space="preserve">о </w:t>
      </w:r>
      <w:r w:rsidR="00EE347C">
        <w:rPr>
          <w:rFonts w:eastAsia="Times New Roman" w:cs="Times New Roman"/>
          <w:sz w:val="24"/>
          <w:szCs w:val="24"/>
        </w:rPr>
        <w:t>15</w:t>
      </w:r>
      <w:r w:rsidRPr="00507B0C">
        <w:rPr>
          <w:rFonts w:eastAsia="Times New Roman" w:cs="Times New Roman"/>
          <w:sz w:val="24"/>
          <w:szCs w:val="24"/>
        </w:rPr>
        <w:t xml:space="preserve"> </w:t>
      </w:r>
      <w:r w:rsidR="00EE347C">
        <w:rPr>
          <w:rFonts w:eastAsia="Times New Roman" w:cs="Times New Roman"/>
          <w:sz w:val="24"/>
          <w:szCs w:val="24"/>
        </w:rPr>
        <w:t>квітня</w:t>
      </w:r>
      <w:r w:rsidRPr="00507B0C">
        <w:rPr>
          <w:rFonts w:eastAsia="Times New Roman" w:cs="Times New Roman"/>
          <w:sz w:val="24"/>
          <w:szCs w:val="24"/>
        </w:rPr>
        <w:t xml:space="preserve"> 202</w:t>
      </w:r>
      <w:r w:rsidR="00EE347C">
        <w:rPr>
          <w:rFonts w:eastAsia="Times New Roman" w:cs="Times New Roman"/>
          <w:sz w:val="24"/>
          <w:szCs w:val="24"/>
        </w:rPr>
        <w:t>4</w:t>
      </w:r>
      <w:r w:rsidRPr="00507B0C">
        <w:rPr>
          <w:rFonts w:eastAsia="Times New Roman" w:cs="Times New Roman"/>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137AE4B3" w14:textId="77777777" w:rsidR="00507B0C" w:rsidRPr="00507B0C" w:rsidRDefault="00507B0C" w:rsidP="00507B0C">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507B0C">
        <w:rPr>
          <w:rFonts w:eastAsia="Times New Roman" w:cs="Times New Roman"/>
          <w:sz w:val="24"/>
          <w:szCs w:val="24"/>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(ціна за 1 тис. куб. м природного газу,) + 163,89 (тариф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6CA475C6" w14:textId="5F0630D7" w:rsidR="00507B0C" w:rsidRPr="00507B0C" w:rsidRDefault="00507B0C" w:rsidP="00507B0C">
      <w:pPr>
        <w:pBdr>
          <w:top w:val="nil"/>
          <w:left w:val="nil"/>
          <w:bottom w:val="nil"/>
          <w:right w:val="nil"/>
          <w:between w:val="nil"/>
        </w:pBdr>
        <w:shd w:val="clear" w:color="auto" w:fill="FFFFFF"/>
        <w:spacing w:after="0"/>
        <w:ind w:firstLine="567"/>
        <w:jc w:val="both"/>
        <w:rPr>
          <w:rFonts w:eastAsia="Times New Roman" w:cs="Times New Roman"/>
          <w:sz w:val="24"/>
          <w:szCs w:val="24"/>
        </w:rPr>
      </w:pPr>
      <w:r w:rsidRPr="00507B0C">
        <w:rPr>
          <w:rFonts w:eastAsia="Times New Roman" w:cs="Times New Roman"/>
          <w:sz w:val="24"/>
          <w:szCs w:val="24"/>
        </w:rPr>
        <w:t xml:space="preserve">Визначення обсягу предмета закупівлі визначено аналізом споживання </w:t>
      </w:r>
      <w:r w:rsidR="00065664">
        <w:rPr>
          <w:rFonts w:eastAsia="Times New Roman" w:cs="Times New Roman"/>
          <w:sz w:val="24"/>
          <w:szCs w:val="24"/>
        </w:rPr>
        <w:t>попередніх періодів, а також з урахуванням планових обсягів споживання природного газу</w:t>
      </w:r>
      <w:r w:rsidRPr="00507B0C">
        <w:rPr>
          <w:rFonts w:eastAsia="Times New Roman" w:cs="Times New Roman"/>
          <w:sz w:val="24"/>
          <w:szCs w:val="24"/>
        </w:rPr>
        <w:t>.</w:t>
      </w:r>
    </w:p>
    <w:p w14:paraId="2BEBE1CF" w14:textId="77777777" w:rsidR="00BB6F3D" w:rsidRDefault="00BB6F3D" w:rsidP="00B436AB">
      <w:pPr>
        <w:pBdr>
          <w:top w:val="nil"/>
          <w:left w:val="nil"/>
          <w:bottom w:val="nil"/>
          <w:right w:val="nil"/>
          <w:between w:val="nil"/>
        </w:pBdr>
        <w:shd w:val="clear" w:color="auto" w:fill="FFFFFF"/>
        <w:spacing w:after="0"/>
        <w:jc w:val="both"/>
        <w:rPr>
          <w:rFonts w:cs="Times New Roman"/>
          <w:sz w:val="24"/>
          <w:szCs w:val="24"/>
        </w:rPr>
      </w:pPr>
    </w:p>
    <w:p w14:paraId="138F6710" w14:textId="77777777" w:rsidR="00EA70DB" w:rsidRPr="00B436AB" w:rsidRDefault="00EA70DB" w:rsidP="00B436AB">
      <w:pPr>
        <w:spacing w:after="0"/>
        <w:rPr>
          <w:rFonts w:cs="Times New Roman"/>
        </w:rPr>
      </w:pPr>
    </w:p>
    <w:p w14:paraId="64D23BE7" w14:textId="55949402" w:rsidR="00EA70DB" w:rsidRDefault="00EA70DB" w:rsidP="00986F1C">
      <w:pPr>
        <w:shd w:val="clear" w:color="auto" w:fill="FFFFFF"/>
        <w:spacing w:after="0"/>
        <w:jc w:val="both"/>
        <w:rPr>
          <w:rFonts w:cs="Times New Roman"/>
        </w:rPr>
      </w:pPr>
    </w:p>
    <w:p w14:paraId="3FFEE300" w14:textId="30573B69" w:rsidR="00B33746" w:rsidRDefault="00B33746" w:rsidP="00986F1C">
      <w:pPr>
        <w:shd w:val="clear" w:color="auto" w:fill="FFFFFF"/>
        <w:spacing w:after="0"/>
        <w:jc w:val="both"/>
        <w:rPr>
          <w:rFonts w:cs="Times New Roman"/>
        </w:rPr>
      </w:pPr>
    </w:p>
    <w:p w14:paraId="1D8EFEC4" w14:textId="11D073F5" w:rsidR="00B33746" w:rsidRDefault="00B33746" w:rsidP="00986F1C">
      <w:pPr>
        <w:shd w:val="clear" w:color="auto" w:fill="FFFFFF"/>
        <w:spacing w:after="0"/>
        <w:jc w:val="both"/>
        <w:rPr>
          <w:rFonts w:cs="Times New Roman"/>
        </w:rPr>
      </w:pPr>
    </w:p>
    <w:p w14:paraId="04FD2DD0" w14:textId="7FD333B0" w:rsidR="00B33746" w:rsidRDefault="00B33746" w:rsidP="00986F1C">
      <w:pPr>
        <w:shd w:val="clear" w:color="auto" w:fill="FFFFFF"/>
        <w:spacing w:after="0"/>
        <w:jc w:val="both"/>
        <w:rPr>
          <w:rFonts w:cs="Times New Roman"/>
        </w:rPr>
      </w:pPr>
    </w:p>
    <w:p w14:paraId="6472F0CE" w14:textId="288CF112" w:rsidR="00B33746" w:rsidRDefault="00B33746" w:rsidP="00986F1C">
      <w:pPr>
        <w:shd w:val="clear" w:color="auto" w:fill="FFFFFF"/>
        <w:spacing w:after="0"/>
        <w:jc w:val="both"/>
        <w:rPr>
          <w:rFonts w:cs="Times New Roman"/>
        </w:rPr>
      </w:pPr>
    </w:p>
    <w:p w14:paraId="4208F809" w14:textId="6D204975" w:rsidR="00B33746" w:rsidRDefault="00B33746" w:rsidP="00986F1C">
      <w:pPr>
        <w:shd w:val="clear" w:color="auto" w:fill="FFFFFF"/>
        <w:spacing w:after="0"/>
        <w:jc w:val="both"/>
        <w:rPr>
          <w:rFonts w:cs="Times New Roman"/>
        </w:rPr>
      </w:pPr>
    </w:p>
    <w:p w14:paraId="0AAF05B1" w14:textId="777A1843" w:rsidR="00B33746" w:rsidRDefault="00B33746" w:rsidP="00986F1C">
      <w:pPr>
        <w:shd w:val="clear" w:color="auto" w:fill="FFFFFF"/>
        <w:spacing w:after="0"/>
        <w:jc w:val="both"/>
        <w:rPr>
          <w:rFonts w:cs="Times New Roman"/>
        </w:rPr>
      </w:pPr>
    </w:p>
    <w:p w14:paraId="2201AEB0" w14:textId="35976297" w:rsidR="00B33746" w:rsidRDefault="00B33746" w:rsidP="00986F1C">
      <w:pPr>
        <w:shd w:val="clear" w:color="auto" w:fill="FFFFFF"/>
        <w:spacing w:after="0"/>
        <w:jc w:val="both"/>
        <w:rPr>
          <w:rFonts w:cs="Times New Roman"/>
        </w:rPr>
      </w:pPr>
    </w:p>
    <w:p w14:paraId="0BAE0DBB" w14:textId="2F516E5D" w:rsidR="00B33746" w:rsidRDefault="00B33746" w:rsidP="00986F1C">
      <w:pPr>
        <w:shd w:val="clear" w:color="auto" w:fill="FFFFFF"/>
        <w:spacing w:after="0"/>
        <w:jc w:val="both"/>
        <w:rPr>
          <w:rFonts w:cs="Times New Roman"/>
        </w:rPr>
      </w:pPr>
    </w:p>
    <w:p w14:paraId="6203BECC" w14:textId="44BB9038" w:rsidR="00B33746" w:rsidRDefault="00B33746" w:rsidP="00986F1C">
      <w:pPr>
        <w:shd w:val="clear" w:color="auto" w:fill="FFFFFF"/>
        <w:spacing w:after="0"/>
        <w:jc w:val="both"/>
        <w:rPr>
          <w:rFonts w:cs="Times New Roman"/>
        </w:rPr>
      </w:pPr>
    </w:p>
    <w:p w14:paraId="6A9894B3" w14:textId="77777777" w:rsidR="00B33746" w:rsidRPr="00B436AB" w:rsidRDefault="00B33746" w:rsidP="00986F1C">
      <w:pPr>
        <w:shd w:val="clear" w:color="auto" w:fill="FFFFFF"/>
        <w:spacing w:after="0"/>
        <w:jc w:val="both"/>
        <w:rPr>
          <w:rFonts w:cs="Times New Roman"/>
        </w:rPr>
      </w:pPr>
    </w:p>
    <w:sectPr w:rsidR="00B33746" w:rsidRPr="00B436A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12D2"/>
    <w:multiLevelType w:val="multilevel"/>
    <w:tmpl w:val="7EFAE57E"/>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3147F8"/>
    <w:multiLevelType w:val="hybridMultilevel"/>
    <w:tmpl w:val="67E08E7C"/>
    <w:lvl w:ilvl="0" w:tplc="ABD4666A">
      <w:start w:val="2"/>
      <w:numFmt w:val="bullet"/>
      <w:lvlText w:val="-"/>
      <w:lvlJc w:val="left"/>
      <w:pPr>
        <w:ind w:left="720" w:hanging="360"/>
      </w:pPr>
      <w:rPr>
        <w:rFonts w:ascii="Times New Roman" w:eastAsia="Times New Roman" w:hAnsi="Times New Roman" w:cs="Times New Roman" w:hint="default"/>
        <w:color w:val="12121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9081767"/>
    <w:multiLevelType w:val="multilevel"/>
    <w:tmpl w:val="FD8EC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DB"/>
    <w:rsid w:val="00040707"/>
    <w:rsid w:val="00062F4D"/>
    <w:rsid w:val="00065664"/>
    <w:rsid w:val="000A3D3B"/>
    <w:rsid w:val="000B32DA"/>
    <w:rsid w:val="000D0829"/>
    <w:rsid w:val="000F747F"/>
    <w:rsid w:val="00125BDE"/>
    <w:rsid w:val="00187D5B"/>
    <w:rsid w:val="001976F9"/>
    <w:rsid w:val="001B11D3"/>
    <w:rsid w:val="001B4D50"/>
    <w:rsid w:val="001B5C87"/>
    <w:rsid w:val="001F4DBE"/>
    <w:rsid w:val="00200299"/>
    <w:rsid w:val="002345DB"/>
    <w:rsid w:val="0023552A"/>
    <w:rsid w:val="002828B1"/>
    <w:rsid w:val="0029520B"/>
    <w:rsid w:val="002A313D"/>
    <w:rsid w:val="003142F4"/>
    <w:rsid w:val="00315247"/>
    <w:rsid w:val="003414AF"/>
    <w:rsid w:val="00345B3B"/>
    <w:rsid w:val="00356063"/>
    <w:rsid w:val="003C4637"/>
    <w:rsid w:val="003C70B9"/>
    <w:rsid w:val="003E4291"/>
    <w:rsid w:val="003F60DA"/>
    <w:rsid w:val="0044126D"/>
    <w:rsid w:val="00442A5B"/>
    <w:rsid w:val="00446B80"/>
    <w:rsid w:val="004A799E"/>
    <w:rsid w:val="004D7267"/>
    <w:rsid w:val="004F196C"/>
    <w:rsid w:val="00507B0C"/>
    <w:rsid w:val="00530000"/>
    <w:rsid w:val="00536650"/>
    <w:rsid w:val="005608CE"/>
    <w:rsid w:val="005B042F"/>
    <w:rsid w:val="005C42AF"/>
    <w:rsid w:val="005F2968"/>
    <w:rsid w:val="005F79A9"/>
    <w:rsid w:val="006726D2"/>
    <w:rsid w:val="006C7DC3"/>
    <w:rsid w:val="007145DF"/>
    <w:rsid w:val="00740BFA"/>
    <w:rsid w:val="007638AD"/>
    <w:rsid w:val="00774CCD"/>
    <w:rsid w:val="007847E4"/>
    <w:rsid w:val="00787918"/>
    <w:rsid w:val="00794671"/>
    <w:rsid w:val="00796122"/>
    <w:rsid w:val="007D00C0"/>
    <w:rsid w:val="00860F32"/>
    <w:rsid w:val="008E2F66"/>
    <w:rsid w:val="008E55D3"/>
    <w:rsid w:val="008E7726"/>
    <w:rsid w:val="00954892"/>
    <w:rsid w:val="00986F1C"/>
    <w:rsid w:val="009D3C7D"/>
    <w:rsid w:val="009F0FDE"/>
    <w:rsid w:val="009F19C2"/>
    <w:rsid w:val="00A01E42"/>
    <w:rsid w:val="00A277E1"/>
    <w:rsid w:val="00AA2034"/>
    <w:rsid w:val="00AA7B32"/>
    <w:rsid w:val="00AB2261"/>
    <w:rsid w:val="00AB77F6"/>
    <w:rsid w:val="00AD1F46"/>
    <w:rsid w:val="00AD4AE1"/>
    <w:rsid w:val="00AD684E"/>
    <w:rsid w:val="00B010EA"/>
    <w:rsid w:val="00B33746"/>
    <w:rsid w:val="00B436AB"/>
    <w:rsid w:val="00B6616B"/>
    <w:rsid w:val="00B70F13"/>
    <w:rsid w:val="00B97B6A"/>
    <w:rsid w:val="00BA0E98"/>
    <w:rsid w:val="00BB6F3D"/>
    <w:rsid w:val="00BF2D16"/>
    <w:rsid w:val="00C9156C"/>
    <w:rsid w:val="00C92FCE"/>
    <w:rsid w:val="00CC4E0D"/>
    <w:rsid w:val="00D77D6D"/>
    <w:rsid w:val="00D817B5"/>
    <w:rsid w:val="00D968BF"/>
    <w:rsid w:val="00DE5CA0"/>
    <w:rsid w:val="00E20AFE"/>
    <w:rsid w:val="00E70FFB"/>
    <w:rsid w:val="00EA70DB"/>
    <w:rsid w:val="00EE30DE"/>
    <w:rsid w:val="00EE347C"/>
    <w:rsid w:val="00F3206E"/>
    <w:rsid w:val="00FD0B26"/>
    <w:rsid w:val="00FD6D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6E5"/>
  <w15:docId w15:val="{374638C8-B9CE-48DF-A5A6-69A94E9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C9"/>
    <w:rPr>
      <w:rFonts w:eastAsia="SimSun" w:cs="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0F4DC9"/>
    <w:rPr>
      <w:rFonts w:eastAsia="Times New Roman" w:hAnsi="Calibri" w:cs="Times New Roman"/>
      <w:color w:val="0000FF"/>
      <w:u w:val="single"/>
    </w:rPr>
  </w:style>
  <w:style w:type="paragraph" w:styleId="a5">
    <w:name w:val="No Spacing"/>
    <w:uiPriority w:val="1"/>
    <w:qFormat/>
    <w:rsid w:val="000F4DC9"/>
    <w:pPr>
      <w:suppressAutoHyphens/>
      <w:spacing w:after="0"/>
    </w:pPr>
    <w:rPr>
      <w:rFonts w:ascii="Calibri" w:eastAsia="SimSun" w:hAnsi="Calibri" w:cs="SimSun"/>
      <w:lang w:eastAsia="ar-SA"/>
    </w:rPr>
  </w:style>
  <w:style w:type="paragraph" w:customStyle="1" w:styleId="rvps2">
    <w:name w:val="rvps2"/>
    <w:basedOn w:val="a"/>
    <w:unhideWhenUsed/>
    <w:qFormat/>
    <w:rsid w:val="000F4DC9"/>
    <w:pPr>
      <w:spacing w:before="100" w:beforeAutospacing="1" w:after="100" w:afterAutospacing="1"/>
    </w:pPr>
    <w:rPr>
      <w:sz w:val="24"/>
      <w:szCs w:val="24"/>
    </w:rPr>
  </w:style>
  <w:style w:type="paragraph" w:customStyle="1" w:styleId="10">
    <w:name w:val="Абзац списка1"/>
    <w:basedOn w:val="a"/>
    <w:uiPriority w:val="34"/>
    <w:qFormat/>
    <w:rsid w:val="000F4DC9"/>
    <w:pPr>
      <w:spacing w:line="276" w:lineRule="auto"/>
      <w:ind w:left="720"/>
      <w:contextualSpacing/>
    </w:pPr>
    <w:rPr>
      <w:rFonts w:ascii="Calibri" w:hAnsi="Calibri" w:cs="Times New Roman"/>
    </w:rPr>
  </w:style>
  <w:style w:type="table" w:customStyle="1" w:styleId="11">
    <w:name w:val="Сетка таблицы1"/>
    <w:basedOn w:val="a1"/>
    <w:next w:val="a6"/>
    <w:uiPriority w:val="59"/>
    <w:qFormat/>
    <w:locked/>
    <w:rsid w:val="000F4DC9"/>
    <w:pPr>
      <w:spacing w:after="0"/>
    </w:pPr>
    <w:rPr>
      <w:rFonts w:ascii="Calibri" w:eastAsia="SimSu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F4D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pPr>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link w:val="ac"/>
    <w:uiPriority w:val="34"/>
    <w:qFormat/>
    <w:rsid w:val="006C7DC3"/>
    <w:pPr>
      <w:spacing w:after="0"/>
      <w:ind w:left="720"/>
      <w:contextualSpacing/>
    </w:pPr>
    <w:rPr>
      <w:rFonts w:ascii="Calibri" w:eastAsia="Calibri" w:hAnsi="Calibri" w:cs="Calibri"/>
      <w:sz w:val="20"/>
      <w:szCs w:val="20"/>
      <w:lang w:eastAsia="en-US"/>
    </w:rPr>
  </w:style>
  <w:style w:type="character" w:customStyle="1" w:styleId="ac">
    <w:name w:val="Абзац списку Знак"/>
    <w:link w:val="ab"/>
    <w:uiPriority w:val="34"/>
    <w:locked/>
    <w:rsid w:val="006C7DC3"/>
    <w:rPr>
      <w:rFonts w:ascii="Calibri" w:eastAsia="Calibri" w:hAnsi="Calibri" w:cs="Calibri"/>
      <w:sz w:val="20"/>
      <w:szCs w:val="20"/>
      <w:lang w:eastAsia="en-US"/>
    </w:rPr>
  </w:style>
  <w:style w:type="character" w:customStyle="1" w:styleId="20">
    <w:name w:val="Основной текст (2)"/>
    <w:rsid w:val="006C7DC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qaperiodofpaymentdays">
    <w:name w:val="qa_period_of_payment_days"/>
    <w:basedOn w:val="a0"/>
    <w:rsid w:val="000D0829"/>
  </w:style>
  <w:style w:type="character" w:customStyle="1" w:styleId="qaperiodofpaymenttype">
    <w:name w:val="qa_period_of_payment_type"/>
    <w:basedOn w:val="a0"/>
    <w:rsid w:val="000D0829"/>
  </w:style>
  <w:style w:type="character" w:customStyle="1" w:styleId="rvts44">
    <w:name w:val="rvts44"/>
    <w:basedOn w:val="a0"/>
    <w:rsid w:val="00536650"/>
  </w:style>
  <w:style w:type="character" w:customStyle="1" w:styleId="rvts9">
    <w:name w:val="rvts9"/>
    <w:basedOn w:val="a0"/>
    <w:rsid w:val="002345DB"/>
  </w:style>
  <w:style w:type="paragraph" w:styleId="ad">
    <w:name w:val="Normal (Web)"/>
    <w:basedOn w:val="a"/>
    <w:uiPriority w:val="99"/>
    <w:semiHidden/>
    <w:unhideWhenUsed/>
    <w:rsid w:val="00B33746"/>
    <w:pPr>
      <w:spacing w:before="100" w:beforeAutospacing="1" w:after="100" w:afterAutospacing="1"/>
    </w:pPr>
    <w:rPr>
      <w:rFonts w:eastAsia="Times New Roman" w:cs="Times New Roman"/>
      <w:sz w:val="24"/>
      <w:szCs w:val="24"/>
    </w:rPr>
  </w:style>
  <w:style w:type="character" w:styleId="ae">
    <w:name w:val="Strong"/>
    <w:basedOn w:val="a0"/>
    <w:uiPriority w:val="22"/>
    <w:qFormat/>
    <w:rsid w:val="00B33746"/>
    <w:rPr>
      <w:b/>
      <w:bCs/>
    </w:rPr>
  </w:style>
  <w:style w:type="character" w:styleId="af">
    <w:name w:val="Emphasis"/>
    <w:basedOn w:val="a0"/>
    <w:uiPriority w:val="20"/>
    <w:qFormat/>
    <w:rsid w:val="00B33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59828">
      <w:bodyDiv w:val="1"/>
      <w:marLeft w:val="0"/>
      <w:marRight w:val="0"/>
      <w:marTop w:val="0"/>
      <w:marBottom w:val="0"/>
      <w:divBdr>
        <w:top w:val="none" w:sz="0" w:space="0" w:color="auto"/>
        <w:left w:val="none" w:sz="0" w:space="0" w:color="auto"/>
        <w:bottom w:val="none" w:sz="0" w:space="0" w:color="auto"/>
        <w:right w:val="none" w:sz="0" w:space="0" w:color="auto"/>
      </w:divBdr>
    </w:div>
    <w:div w:id="501747231">
      <w:bodyDiv w:val="1"/>
      <w:marLeft w:val="0"/>
      <w:marRight w:val="0"/>
      <w:marTop w:val="0"/>
      <w:marBottom w:val="0"/>
      <w:divBdr>
        <w:top w:val="none" w:sz="0" w:space="0" w:color="auto"/>
        <w:left w:val="none" w:sz="0" w:space="0" w:color="auto"/>
        <w:bottom w:val="none" w:sz="0" w:space="0" w:color="auto"/>
        <w:right w:val="none" w:sz="0" w:space="0" w:color="auto"/>
      </w:divBdr>
    </w:div>
    <w:div w:id="124957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MQLo2D+6SW5EMTnQwIcPBtuj3w==">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4137</Words>
  <Characters>2359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userua11</dc:creator>
  <cp:lastModifiedBy>Користувач</cp:lastModifiedBy>
  <cp:revision>2</cp:revision>
  <cp:lastPrinted>2023-12-05T13:43:00Z</cp:lastPrinted>
  <dcterms:created xsi:type="dcterms:W3CDTF">2023-12-05T13:46:00Z</dcterms:created>
  <dcterms:modified xsi:type="dcterms:W3CDTF">2023-12-05T13:46:00Z</dcterms:modified>
</cp:coreProperties>
</file>